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sub"/>
        <w:bidi w:val="0"/>
        <w:jc w:val="left"/>
        <w:rPr/>
      </w:pPr>
      <w:r>
        <w:rPr/>
        <w:t>BD Genomes — Methods</w:t>
      </w:r>
    </w:p>
    <w:p>
      <w:pPr>
        <w:pStyle w:val="Heading1"/>
        <w:bidi w:val="0"/>
        <w:jc w:val="left"/>
        <w:rPr/>
      </w:pPr>
      <w:r>
        <w:rPr/>
        <w:t>16S rRNA amplicon sequencing (V3–V4)</w:t>
      </w:r>
    </w:p>
    <w:p>
      <w:pPr>
        <w:pStyle w:val="BodyTextmeta"/>
        <w:bidi w:val="0"/>
        <w:jc w:val="left"/>
        <w:rPr/>
      </w:pPr>
      <w:r>
        <w:rPr/>
        <w:t>bdgenomes.com · WhatsApp +880 1308-222824 · bdgenome@yahoo.com</w:t>
      </w:r>
    </w:p>
    <w:p>
      <w:pPr>
        <w:pStyle w:val="Heading2"/>
        <w:bidi w:val="0"/>
        <w:jc w:val="left"/>
        <w:rPr/>
      </w:pPr>
      <w:r>
        <w:rPr/>
        <w:t>Sample processing and DNA extraction</w:t>
      </w:r>
    </w:p>
    <w:p>
      <w:pPr>
        <w:pStyle w:val="BodyText"/>
        <w:bidi w:val="0"/>
        <w:jc w:val="left"/>
        <w:rPr/>
      </w:pPr>
      <w:r>
        <w:rPr/>
        <w:t>Environmental DNA (eDNA) is extracted with a CTAB / phenol–chloroform–isoamyl alcohol (PCI) protocol with minor modifications. Water samples (100 mL) are first filtered through a 0.22 µm membrane (Whatman); sediment and soil (about 0.25–0.5 g) are processed directly. Cells are lysed in pre-warmed CTAB buffer (100 mM Tris-HCl pH 8.0, 20 mM EDTA, 1.5 M NaCl, 2% CTAB) with β-mercaptoethanol and 0.5 mm glass beads (10 min vortexing), then digested with proteinase K at 55–65 °C and treated with RNase A at 37 °C. DNA is purified with phenol:chloroform:isoamyl alcohol (25:24:1) and chloroform:isoamyl alcohol (24:1), precipitated with cold isopropanol, washed with ethanol and dissolved in TE buffer. Purity is measured with a NanoDrop spectrophotometer (A260/A280 about 1.8–2.0) and integrity on a 1% agarose gel.</w:t>
      </w:r>
    </w:p>
    <w:p>
      <w:pPr>
        <w:pStyle w:val="Heading2"/>
        <w:bidi w:val="0"/>
        <w:jc w:val="left"/>
        <w:rPr/>
      </w:pPr>
      <w:r>
        <w:rPr/>
        <w:t>PCR amplification and sequencing</w:t>
      </w:r>
    </w:p>
    <w:p>
      <w:pPr>
        <w:pStyle w:val="BodyText"/>
        <w:bidi w:val="0"/>
        <w:jc w:val="left"/>
        <w:rPr/>
      </w:pPr>
      <w:r>
        <w:rPr/>
        <w:t>The hypervariable V3–V4 region of the bacterial 16S rRNA gene is amplified with barcoded primers 341F (5′-CCTAYGGGRBGCASCAG-3′) and 806R (5′-GGACTACHVGGGTWTCTAAT-3′) in 30 µL reactions with Promega G2 Green Master Mix: 98 °C for 1 min; 30 cycles of 98 °C for 10 s, 50 °C for 30 s and 72 °C for 30 s; and a final extension at 72 °C for 5 min. Products are checked on a 2% agarose gel, purified with the GeneJET Gel Extraction Kit and quantified with a Qubit fluorometer. Equimolar amplicons are pooled into libraries following the Illumina TruSeq protocol and sequenced on an Illumina NovaSeq 6000 (paired-end, 2 × 250 bp).</w:t>
      </w:r>
    </w:p>
    <w:p>
      <w:pPr>
        <w:pStyle w:val="Heading2"/>
        <w:bidi w:val="0"/>
        <w:jc w:val="left"/>
        <w:rPr/>
      </w:pPr>
      <w:r>
        <w:rPr/>
        <w:t>Read processing and taxonomic classification</w:t>
      </w:r>
    </w:p>
    <w:p>
      <w:pPr>
        <w:pStyle w:val="BodyText"/>
        <w:bidi w:val="0"/>
        <w:jc w:val="left"/>
        <w:rPr/>
      </w:pPr>
      <w:r>
        <w:rPr/>
        <w:t>Reads are demultiplexed by their 12 bp sample barcodes (custom Python script). Adapters and short reads are removed with Cutadapt, and paired reads are merged with FLASH. Fastp removes low-quality reads (Phred below Q19), and VSEARCH removes chimeric sequences (Rognes et al. 2016). Clean reads are denoised with DADA2 in QIIME2 to obtain amplicon sequence variants (ASVs) (Bolyen et al. 2019). A phylogenetic tree is built in QIIME2, and ASVs are classified with a naïve Bayesian classifier (Wang et al. 2007) trained on the SILVA 138 database (Quast et al. 2013).</w:t>
      </w:r>
    </w:p>
    <w:p>
      <w:pPr>
        <w:pStyle w:val="Heading2"/>
        <w:bidi w:val="0"/>
        <w:jc w:val="left"/>
        <w:rPr/>
      </w:pPr>
      <w:r>
        <w:rPr/>
        <w:t>Diversity and statistical analysis</w:t>
      </w:r>
    </w:p>
    <w:p>
      <w:pPr>
        <w:pStyle w:val="BodyText"/>
        <w:bidi w:val="0"/>
        <w:jc w:val="left"/>
        <w:rPr/>
      </w:pPr>
      <w:r>
        <w:rPr/>
        <w:t>Alpha diversity (Chao1 richness, Shannon and Simpson diversity, Pielou’s evenness, dominance and Good’s coverage) is calculated in QIIME2 and plotted in R (ggplot2, vegan, reshape2). Beta diversity is based on weighted and unweighted UniFrac distances, shown with Principal Coordinates Analysis (PCoA), Principal Component Analysis (PCA) and non-metric multidimensional scaling (NMDS). Differences between groups are tested with PERMANOVA (Adonis), ANOSIM and MRPP (Anderson 2001).</w:t>
      </w:r>
    </w:p>
    <w:p>
      <w:pPr>
        <w:pStyle w:val="Heading2"/>
        <w:bidi w:val="0"/>
        <w:jc w:val="left"/>
        <w:rPr/>
      </w:pPr>
      <w:r>
        <w:rPr/>
        <w:t>Biomarkers, functional prediction and environmental links</w:t>
      </w:r>
    </w:p>
    <w:p>
      <w:pPr>
        <w:pStyle w:val="BodyText"/>
        <w:bidi w:val="0"/>
        <w:jc w:val="left"/>
        <w:rPr/>
      </w:pPr>
      <w:r>
        <w:rPr/>
        <w:t>Differentially abundant taxa are identified with metagenomeSeq, and potential biomarkers with LEfSe (LDA score above 4). Community functions are predicted with PICRUSt2 (Douglas et al. 2020), phenotypes with BugBase, and ecological guilds with FAPROTAX and FUNGuild. Relationships between communities and environmental variables are explored with canonical correspondence analysis (CCA) and distance-based redundancy analysis (db-RDA) in R (vegan, psych).</w:t>
      </w:r>
    </w:p>
    <w:p>
      <w:pPr>
        <w:pStyle w:val="Heading2"/>
        <w:bidi w:val="0"/>
        <w:jc w:val="left"/>
        <w:rPr/>
      </w:pPr>
      <w:r>
        <w:rPr/>
        <w:t>Software and versions</w:t>
      </w:r>
    </w:p>
    <w:tbl>
      <w:tblPr>
        <w:tblW w:w="11339" w:type="dxa"/>
        <w:jc w:val="left"/>
        <w:tblInd w:w="28" w:type="dxa"/>
        <w:tblLayout w:type="fixed"/>
        <w:tblCellMar>
          <w:top w:w="28" w:type="dxa"/>
          <w:left w:w="28" w:type="dxa"/>
          <w:bottom w:w="28" w:type="dxa"/>
          <w:right w:w="28" w:type="dxa"/>
        </w:tblCellMar>
      </w:tblPr>
      <w:tblGrid>
        <w:gridCol w:w="3249"/>
        <w:gridCol w:w="3247"/>
        <w:gridCol w:w="931"/>
        <w:gridCol w:w="3912"/>
      </w:tblGrid>
      <w:tr>
        <w:trPr/>
        <w:tc>
          <w:tcPr>
            <w:tcW w:w="3249" w:type="dxa"/>
            <w:tcBorders/>
            <w:vAlign w:val="center"/>
          </w:tcPr>
          <w:p>
            <w:pPr>
              <w:pStyle w:val="TableHeading"/>
              <w:suppressLineNumbers/>
              <w:shd w:fill="0F4C5C" w:val="clear"/>
              <w:bidi w:val="0"/>
              <w:spacing w:before="0" w:after="283"/>
              <w:jc w:val="left"/>
              <w:rPr/>
            </w:pPr>
            <w:r>
              <w:rPr/>
              <w:t>Step</w:t>
            </w:r>
          </w:p>
        </w:tc>
        <w:tc>
          <w:tcPr>
            <w:tcW w:w="3247" w:type="dxa"/>
            <w:tcBorders/>
            <w:vAlign w:val="center"/>
          </w:tcPr>
          <w:p>
            <w:pPr>
              <w:pStyle w:val="TableHeading"/>
              <w:suppressLineNumbers/>
              <w:shd w:fill="0F4C5C" w:val="clear"/>
              <w:bidi w:val="0"/>
              <w:spacing w:before="0" w:after="283"/>
              <w:jc w:val="left"/>
              <w:rPr/>
            </w:pPr>
            <w:r>
              <w:rPr/>
              <w:t>Software</w:t>
            </w:r>
          </w:p>
        </w:tc>
        <w:tc>
          <w:tcPr>
            <w:tcW w:w="931" w:type="dxa"/>
            <w:tcBorders/>
            <w:vAlign w:val="center"/>
          </w:tcPr>
          <w:p>
            <w:pPr>
              <w:pStyle w:val="TableHeading"/>
              <w:suppressLineNumbers/>
              <w:shd w:fill="0F4C5C" w:val="clear"/>
              <w:bidi w:val="0"/>
              <w:spacing w:before="0" w:after="283"/>
              <w:jc w:val="left"/>
              <w:rPr/>
            </w:pPr>
            <w:r>
              <w:rPr/>
              <w:t>Version</w:t>
            </w:r>
          </w:p>
        </w:tc>
        <w:tc>
          <w:tcPr>
            <w:tcW w:w="3912" w:type="dxa"/>
            <w:tcBorders/>
            <w:vAlign w:val="center"/>
          </w:tcPr>
          <w:p>
            <w:pPr>
              <w:pStyle w:val="TableHeading"/>
              <w:suppressLineNumbers/>
              <w:shd w:fill="0F4C5C" w:val="clear"/>
              <w:bidi w:val="0"/>
              <w:spacing w:before="0" w:after="283"/>
              <w:jc w:val="left"/>
              <w:rPr/>
            </w:pPr>
            <w:r>
              <w:rPr/>
              <w:t>Key settings</w:t>
            </w:r>
          </w:p>
        </w:tc>
      </w:tr>
      <w:tr>
        <w:trPr/>
        <w:tc>
          <w:tcPr>
            <w:tcW w:w="3249" w:type="dxa"/>
            <w:tcBorders/>
            <w:vAlign w:val="center"/>
          </w:tcPr>
          <w:p>
            <w:pPr>
              <w:pStyle w:val="TableContents"/>
              <w:bidi w:val="0"/>
              <w:spacing w:before="0" w:after="283"/>
              <w:jc w:val="left"/>
              <w:rPr/>
            </w:pPr>
            <w:r>
              <w:rPr/>
              <w:t>Demultiplexing</w:t>
            </w:r>
          </w:p>
        </w:tc>
        <w:tc>
          <w:tcPr>
            <w:tcW w:w="3247" w:type="dxa"/>
            <w:tcBorders/>
            <w:vAlign w:val="center"/>
          </w:tcPr>
          <w:p>
            <w:pPr>
              <w:pStyle w:val="TableContents"/>
              <w:bidi w:val="0"/>
              <w:spacing w:before="0" w:after="283"/>
              <w:jc w:val="left"/>
              <w:rPr/>
            </w:pPr>
            <w:r>
              <w:rPr/>
              <w:t>Python (custom script)</w:t>
            </w:r>
          </w:p>
        </w:tc>
        <w:tc>
          <w:tcPr>
            <w:tcW w:w="931" w:type="dxa"/>
            <w:tcBorders/>
            <w:vAlign w:val="center"/>
          </w:tcPr>
          <w:p>
            <w:pPr>
              <w:pStyle w:val="TableContents"/>
              <w:bidi w:val="0"/>
              <w:spacing w:before="0" w:after="283"/>
              <w:jc w:val="left"/>
              <w:rPr/>
            </w:pPr>
            <w:r>
              <w:rPr/>
              <w:t>3.6.13</w:t>
            </w:r>
          </w:p>
        </w:tc>
        <w:tc>
          <w:tcPr>
            <w:tcW w:w="3912" w:type="dxa"/>
            <w:tcBorders/>
            <w:vAlign w:val="center"/>
          </w:tcPr>
          <w:p>
            <w:pPr>
              <w:pStyle w:val="TableContents"/>
              <w:bidi w:val="0"/>
              <w:spacing w:before="0" w:after="283"/>
              <w:jc w:val="left"/>
              <w:rPr/>
            </w:pPr>
            <w:r>
              <w:rPr/>
              <w:t>12 bp barcodes</w:t>
            </w:r>
          </w:p>
        </w:tc>
      </w:tr>
      <w:tr>
        <w:trPr/>
        <w:tc>
          <w:tcPr>
            <w:tcW w:w="3249" w:type="dxa"/>
            <w:tcBorders/>
            <w:vAlign w:val="center"/>
          </w:tcPr>
          <w:p>
            <w:pPr>
              <w:pStyle w:val="TableContents"/>
              <w:bidi w:val="0"/>
              <w:spacing w:before="0" w:after="283"/>
              <w:jc w:val="left"/>
              <w:rPr/>
            </w:pPr>
            <w:r>
              <w:rPr/>
              <w:t>Adapter and short-read removal</w:t>
            </w:r>
          </w:p>
        </w:tc>
        <w:tc>
          <w:tcPr>
            <w:tcW w:w="3247" w:type="dxa"/>
            <w:tcBorders/>
            <w:vAlign w:val="center"/>
          </w:tcPr>
          <w:p>
            <w:pPr>
              <w:pStyle w:val="TableContents"/>
              <w:bidi w:val="0"/>
              <w:spacing w:before="0" w:after="283"/>
              <w:jc w:val="left"/>
              <w:rPr/>
            </w:pPr>
            <w:r>
              <w:rPr/>
              <w:t>Cutadapt</w:t>
            </w:r>
          </w:p>
        </w:tc>
        <w:tc>
          <w:tcPr>
            <w:tcW w:w="931" w:type="dxa"/>
            <w:tcBorders/>
            <w:vAlign w:val="center"/>
          </w:tcPr>
          <w:p>
            <w:pPr>
              <w:pStyle w:val="TableContents"/>
              <w:bidi w:val="0"/>
              <w:spacing w:before="0" w:after="283"/>
              <w:jc w:val="left"/>
              <w:rPr/>
            </w:pPr>
            <w:r>
              <w:rPr/>
              <w:t>3.3</w:t>
            </w:r>
          </w:p>
        </w:tc>
        <w:tc>
          <w:tcPr>
            <w:tcW w:w="3912" w:type="dxa"/>
            <w:tcBorders/>
            <w:vAlign w:val="center"/>
          </w:tcPr>
          <w:p>
            <w:pPr>
              <w:pStyle w:val="TableContents"/>
              <w:bidi w:val="0"/>
              <w:spacing w:before="0" w:after="283"/>
              <w:jc w:val="left"/>
              <w:rPr/>
            </w:pPr>
            <w:r>
              <w:rPr/>
              <w:t>minimum length 20</w:t>
            </w:r>
          </w:p>
        </w:tc>
      </w:tr>
      <w:tr>
        <w:trPr/>
        <w:tc>
          <w:tcPr>
            <w:tcW w:w="3249" w:type="dxa"/>
            <w:tcBorders/>
            <w:vAlign w:val="center"/>
          </w:tcPr>
          <w:p>
            <w:pPr>
              <w:pStyle w:val="TableContents"/>
              <w:bidi w:val="0"/>
              <w:spacing w:before="0" w:after="283"/>
              <w:jc w:val="left"/>
              <w:rPr/>
            </w:pPr>
            <w:r>
              <w:rPr/>
              <w:t>Read merging</w:t>
            </w:r>
          </w:p>
        </w:tc>
        <w:tc>
          <w:tcPr>
            <w:tcW w:w="3247" w:type="dxa"/>
            <w:tcBorders/>
            <w:vAlign w:val="center"/>
          </w:tcPr>
          <w:p>
            <w:pPr>
              <w:pStyle w:val="TableContents"/>
              <w:bidi w:val="0"/>
              <w:spacing w:before="0" w:after="283"/>
              <w:jc w:val="left"/>
              <w:rPr/>
            </w:pPr>
            <w:r>
              <w:rPr/>
              <w:t>FLASH</w:t>
            </w:r>
          </w:p>
        </w:tc>
        <w:tc>
          <w:tcPr>
            <w:tcW w:w="931" w:type="dxa"/>
            <w:tcBorders/>
            <w:vAlign w:val="center"/>
          </w:tcPr>
          <w:p>
            <w:pPr>
              <w:pStyle w:val="TableContents"/>
              <w:bidi w:val="0"/>
              <w:spacing w:before="0" w:after="283"/>
              <w:jc w:val="left"/>
              <w:rPr/>
            </w:pPr>
            <w:r>
              <w:rPr/>
              <w:t>1.2.11</w:t>
            </w:r>
          </w:p>
        </w:tc>
        <w:tc>
          <w:tcPr>
            <w:tcW w:w="3912" w:type="dxa"/>
            <w:tcBorders/>
            <w:vAlign w:val="center"/>
          </w:tcPr>
          <w:p>
            <w:pPr>
              <w:pStyle w:val="TableContents"/>
              <w:bidi w:val="0"/>
              <w:spacing w:before="0" w:after="283"/>
              <w:jc w:val="left"/>
              <w:rPr/>
            </w:pPr>
            <w:r>
              <w:rPr/>
              <w:t>min overlap 10, max mismatch density 0.2</w:t>
            </w:r>
          </w:p>
        </w:tc>
      </w:tr>
      <w:tr>
        <w:trPr/>
        <w:tc>
          <w:tcPr>
            <w:tcW w:w="3249" w:type="dxa"/>
            <w:tcBorders/>
            <w:vAlign w:val="center"/>
          </w:tcPr>
          <w:p>
            <w:pPr>
              <w:pStyle w:val="TableContents"/>
              <w:bidi w:val="0"/>
              <w:spacing w:before="0" w:after="283"/>
              <w:jc w:val="left"/>
              <w:rPr/>
            </w:pPr>
            <w:r>
              <w:rPr/>
              <w:t>Quality filtering</w:t>
            </w:r>
          </w:p>
        </w:tc>
        <w:tc>
          <w:tcPr>
            <w:tcW w:w="3247" w:type="dxa"/>
            <w:tcBorders/>
            <w:vAlign w:val="center"/>
          </w:tcPr>
          <w:p>
            <w:pPr>
              <w:pStyle w:val="TableContents"/>
              <w:bidi w:val="0"/>
              <w:spacing w:before="0" w:after="283"/>
              <w:jc w:val="left"/>
              <w:rPr/>
            </w:pPr>
            <w:r>
              <w:rPr/>
              <w:t>fastp</w:t>
            </w:r>
          </w:p>
        </w:tc>
        <w:tc>
          <w:tcPr>
            <w:tcW w:w="931" w:type="dxa"/>
            <w:tcBorders/>
            <w:vAlign w:val="center"/>
          </w:tcPr>
          <w:p>
            <w:pPr>
              <w:pStyle w:val="TableContents"/>
              <w:bidi w:val="0"/>
              <w:spacing w:before="0" w:after="283"/>
              <w:jc w:val="left"/>
              <w:rPr/>
            </w:pPr>
            <w:r>
              <w:rPr/>
              <w:t>0.23.1</w:t>
            </w:r>
          </w:p>
        </w:tc>
        <w:tc>
          <w:tcPr>
            <w:tcW w:w="3912" w:type="dxa"/>
            <w:tcBorders/>
            <w:vAlign w:val="center"/>
          </w:tcPr>
          <w:p>
            <w:pPr>
              <w:pStyle w:val="TableContents"/>
              <w:bidi w:val="0"/>
              <w:spacing w:before="0" w:after="283"/>
              <w:jc w:val="left"/>
              <w:rPr/>
            </w:pPr>
            <w:r>
              <w:rPr/>
              <w:t>-q 19 -u 15</w:t>
            </w:r>
          </w:p>
        </w:tc>
      </w:tr>
      <w:tr>
        <w:trPr/>
        <w:tc>
          <w:tcPr>
            <w:tcW w:w="3249" w:type="dxa"/>
            <w:tcBorders/>
            <w:vAlign w:val="center"/>
          </w:tcPr>
          <w:p>
            <w:pPr>
              <w:pStyle w:val="TableContents"/>
              <w:bidi w:val="0"/>
              <w:spacing w:before="0" w:after="283"/>
              <w:jc w:val="left"/>
              <w:rPr/>
            </w:pPr>
            <w:r>
              <w:rPr/>
              <w:t>Chimera removal</w:t>
            </w:r>
          </w:p>
        </w:tc>
        <w:tc>
          <w:tcPr>
            <w:tcW w:w="3247" w:type="dxa"/>
            <w:tcBorders/>
            <w:vAlign w:val="center"/>
          </w:tcPr>
          <w:p>
            <w:pPr>
              <w:pStyle w:val="TableContents"/>
              <w:bidi w:val="0"/>
              <w:spacing w:before="0" w:after="283"/>
              <w:jc w:val="left"/>
              <w:rPr/>
            </w:pPr>
            <w:r>
              <w:rPr/>
              <w:t>VSEARCH</w:t>
            </w:r>
          </w:p>
        </w:tc>
        <w:tc>
          <w:tcPr>
            <w:tcW w:w="931" w:type="dxa"/>
            <w:tcBorders/>
            <w:vAlign w:val="center"/>
          </w:tcPr>
          <w:p>
            <w:pPr>
              <w:pStyle w:val="TableContents"/>
              <w:bidi w:val="0"/>
              <w:spacing w:before="0" w:after="283"/>
              <w:jc w:val="left"/>
              <w:rPr/>
            </w:pPr>
            <w:r>
              <w:rPr/>
              <w:t>2.16.0</w:t>
            </w:r>
          </w:p>
        </w:tc>
        <w:tc>
          <w:tcPr>
            <w:tcW w:w="3912" w:type="dxa"/>
            <w:tcBorders/>
            <w:vAlign w:val="center"/>
          </w:tcPr>
          <w:p>
            <w:pPr>
              <w:pStyle w:val="TableContents"/>
              <w:bidi w:val="0"/>
              <w:spacing w:before="0" w:after="283"/>
              <w:jc w:val="left"/>
              <w:rPr/>
            </w:pPr>
            <w:r>
              <w:rPr/>
              <w:t>—</w:t>
            </w:r>
          </w:p>
        </w:tc>
      </w:tr>
      <w:tr>
        <w:trPr/>
        <w:tc>
          <w:tcPr>
            <w:tcW w:w="3249" w:type="dxa"/>
            <w:tcBorders/>
            <w:vAlign w:val="center"/>
          </w:tcPr>
          <w:p>
            <w:pPr>
              <w:pStyle w:val="TableContents"/>
              <w:bidi w:val="0"/>
              <w:spacing w:before="0" w:after="283"/>
              <w:jc w:val="left"/>
              <w:rPr/>
            </w:pPr>
            <w:r>
              <w:rPr/>
              <w:t>Denoising (ASVs), tree, taxonomy</w:t>
            </w:r>
          </w:p>
        </w:tc>
        <w:tc>
          <w:tcPr>
            <w:tcW w:w="3247" w:type="dxa"/>
            <w:tcBorders/>
            <w:vAlign w:val="center"/>
          </w:tcPr>
          <w:p>
            <w:pPr>
              <w:pStyle w:val="TableContents"/>
              <w:bidi w:val="0"/>
              <w:spacing w:before="0" w:after="283"/>
              <w:jc w:val="left"/>
              <w:rPr/>
            </w:pPr>
            <w:r>
              <w:rPr/>
              <w:t>QIIME2 (DADA2)</w:t>
            </w:r>
          </w:p>
        </w:tc>
        <w:tc>
          <w:tcPr>
            <w:tcW w:w="931" w:type="dxa"/>
            <w:tcBorders/>
            <w:vAlign w:val="center"/>
          </w:tcPr>
          <w:p>
            <w:pPr>
              <w:pStyle w:val="TableContents"/>
              <w:bidi w:val="0"/>
              <w:spacing w:before="0" w:after="283"/>
              <w:jc w:val="left"/>
              <w:rPr/>
            </w:pPr>
            <w:r>
              <w:rPr/>
              <w:t>2022.2</w:t>
            </w:r>
          </w:p>
        </w:tc>
        <w:tc>
          <w:tcPr>
            <w:tcW w:w="3912" w:type="dxa"/>
            <w:tcBorders/>
            <w:vAlign w:val="center"/>
          </w:tcPr>
          <w:p>
            <w:pPr>
              <w:pStyle w:val="TableContents"/>
              <w:bidi w:val="0"/>
              <w:spacing w:before="0" w:after="283"/>
              <w:jc w:val="left"/>
              <w:rPr/>
            </w:pPr>
            <w:r>
              <w:rPr/>
              <w:t>SILVA 138 classifier</w:t>
            </w:r>
          </w:p>
        </w:tc>
      </w:tr>
      <w:tr>
        <w:trPr/>
        <w:tc>
          <w:tcPr>
            <w:tcW w:w="3249" w:type="dxa"/>
            <w:tcBorders/>
            <w:vAlign w:val="center"/>
          </w:tcPr>
          <w:p>
            <w:pPr>
              <w:pStyle w:val="TableContents"/>
              <w:bidi w:val="0"/>
              <w:spacing w:before="0" w:after="283"/>
              <w:jc w:val="left"/>
              <w:rPr/>
            </w:pPr>
            <w:r>
              <w:rPr/>
              <w:t>Diversity, ordination, statistics</w:t>
            </w:r>
          </w:p>
        </w:tc>
        <w:tc>
          <w:tcPr>
            <w:tcW w:w="3247" w:type="dxa"/>
            <w:tcBorders/>
            <w:vAlign w:val="center"/>
          </w:tcPr>
          <w:p>
            <w:pPr>
              <w:pStyle w:val="TableContents"/>
              <w:bidi w:val="0"/>
              <w:spacing w:before="0" w:after="283"/>
              <w:jc w:val="left"/>
              <w:rPr/>
            </w:pPr>
            <w:r>
              <w:rPr/>
              <w:t>R</w:t>
            </w:r>
          </w:p>
        </w:tc>
        <w:tc>
          <w:tcPr>
            <w:tcW w:w="931" w:type="dxa"/>
            <w:tcBorders/>
            <w:vAlign w:val="center"/>
          </w:tcPr>
          <w:p>
            <w:pPr>
              <w:pStyle w:val="TableContents"/>
              <w:bidi w:val="0"/>
              <w:spacing w:before="0" w:after="283"/>
              <w:jc w:val="left"/>
              <w:rPr/>
            </w:pPr>
            <w:r>
              <w:rPr/>
              <w:t>4.0.3</w:t>
            </w:r>
          </w:p>
        </w:tc>
        <w:tc>
          <w:tcPr>
            <w:tcW w:w="3912" w:type="dxa"/>
            <w:tcBorders/>
            <w:vAlign w:val="center"/>
          </w:tcPr>
          <w:p>
            <w:pPr>
              <w:pStyle w:val="TableContents"/>
              <w:bidi w:val="0"/>
              <w:spacing w:before="0" w:after="283"/>
              <w:jc w:val="left"/>
              <w:rPr/>
            </w:pPr>
            <w:r>
              <w:rPr/>
              <w:t>vegan, ade4, ggplot2</w:t>
            </w:r>
          </w:p>
        </w:tc>
      </w:tr>
      <w:tr>
        <w:trPr/>
        <w:tc>
          <w:tcPr>
            <w:tcW w:w="3249" w:type="dxa"/>
            <w:tcBorders/>
            <w:vAlign w:val="center"/>
          </w:tcPr>
          <w:p>
            <w:pPr>
              <w:pStyle w:val="TableContents"/>
              <w:bidi w:val="0"/>
              <w:spacing w:before="0" w:after="283"/>
              <w:jc w:val="left"/>
              <w:rPr/>
            </w:pPr>
            <w:r>
              <w:rPr/>
              <w:t>Biomarker discovery</w:t>
            </w:r>
          </w:p>
        </w:tc>
        <w:tc>
          <w:tcPr>
            <w:tcW w:w="3247" w:type="dxa"/>
            <w:tcBorders/>
            <w:vAlign w:val="center"/>
          </w:tcPr>
          <w:p>
            <w:pPr>
              <w:pStyle w:val="TableContents"/>
              <w:bidi w:val="0"/>
              <w:spacing w:before="0" w:after="283"/>
              <w:jc w:val="left"/>
              <w:rPr/>
            </w:pPr>
            <w:r>
              <w:rPr/>
              <w:t>LEfSe</w:t>
            </w:r>
          </w:p>
        </w:tc>
        <w:tc>
          <w:tcPr>
            <w:tcW w:w="931" w:type="dxa"/>
            <w:tcBorders/>
            <w:vAlign w:val="center"/>
          </w:tcPr>
          <w:p>
            <w:pPr>
              <w:pStyle w:val="TableContents"/>
              <w:bidi w:val="0"/>
              <w:spacing w:before="0" w:after="283"/>
              <w:jc w:val="left"/>
              <w:rPr/>
            </w:pPr>
            <w:r>
              <w:rPr/>
              <w:t>1.1.01</w:t>
            </w:r>
          </w:p>
        </w:tc>
        <w:tc>
          <w:tcPr>
            <w:tcW w:w="3912" w:type="dxa"/>
            <w:tcBorders/>
            <w:vAlign w:val="center"/>
          </w:tcPr>
          <w:p>
            <w:pPr>
              <w:pStyle w:val="TableContents"/>
              <w:bidi w:val="0"/>
              <w:spacing w:before="0" w:after="283"/>
              <w:jc w:val="left"/>
              <w:rPr/>
            </w:pPr>
            <w:r>
              <w:rPr/>
              <w:t>LDA &gt; 4</w:t>
            </w:r>
          </w:p>
        </w:tc>
      </w:tr>
      <w:tr>
        <w:trPr/>
        <w:tc>
          <w:tcPr>
            <w:tcW w:w="3249" w:type="dxa"/>
            <w:tcBorders/>
            <w:vAlign w:val="center"/>
          </w:tcPr>
          <w:p>
            <w:pPr>
              <w:pStyle w:val="TableContents"/>
              <w:bidi w:val="0"/>
              <w:spacing w:before="0" w:after="283"/>
              <w:jc w:val="left"/>
              <w:rPr/>
            </w:pPr>
            <w:r>
              <w:rPr/>
              <w:t>Differential abundance</w:t>
            </w:r>
          </w:p>
        </w:tc>
        <w:tc>
          <w:tcPr>
            <w:tcW w:w="3247" w:type="dxa"/>
            <w:tcBorders/>
            <w:vAlign w:val="center"/>
          </w:tcPr>
          <w:p>
            <w:pPr>
              <w:pStyle w:val="TableContents"/>
              <w:bidi w:val="0"/>
              <w:spacing w:before="0" w:after="283"/>
              <w:jc w:val="left"/>
              <w:rPr/>
            </w:pPr>
            <w:r>
              <w:rPr/>
              <w:t>metagenomeSeq (R)</w:t>
            </w:r>
          </w:p>
        </w:tc>
        <w:tc>
          <w:tcPr>
            <w:tcW w:w="931" w:type="dxa"/>
            <w:tcBorders/>
            <w:vAlign w:val="center"/>
          </w:tcPr>
          <w:p>
            <w:pPr>
              <w:pStyle w:val="TableContents"/>
              <w:bidi w:val="0"/>
              <w:spacing w:before="0" w:after="283"/>
              <w:jc w:val="left"/>
              <w:rPr/>
            </w:pPr>
            <w:r>
              <w:rPr/>
              <w:t>R 4.0.3</w:t>
            </w:r>
          </w:p>
        </w:tc>
        <w:tc>
          <w:tcPr>
            <w:tcW w:w="3912" w:type="dxa"/>
            <w:tcBorders/>
            <w:vAlign w:val="center"/>
          </w:tcPr>
          <w:p>
            <w:pPr>
              <w:pStyle w:val="TableContents"/>
              <w:bidi w:val="0"/>
              <w:spacing w:before="0" w:after="283"/>
              <w:jc w:val="left"/>
              <w:rPr/>
            </w:pPr>
            <w:r>
              <w:rPr/>
              <w:t>—</w:t>
            </w:r>
          </w:p>
        </w:tc>
      </w:tr>
      <w:tr>
        <w:trPr/>
        <w:tc>
          <w:tcPr>
            <w:tcW w:w="3249" w:type="dxa"/>
            <w:tcBorders/>
            <w:vAlign w:val="center"/>
          </w:tcPr>
          <w:p>
            <w:pPr>
              <w:pStyle w:val="TableContents"/>
              <w:bidi w:val="0"/>
              <w:spacing w:before="0" w:after="283"/>
              <w:jc w:val="left"/>
              <w:rPr/>
            </w:pPr>
            <w:r>
              <w:rPr/>
              <w:t>Functional prediction</w:t>
            </w:r>
          </w:p>
        </w:tc>
        <w:tc>
          <w:tcPr>
            <w:tcW w:w="3247" w:type="dxa"/>
            <w:tcBorders/>
            <w:vAlign w:val="center"/>
          </w:tcPr>
          <w:p>
            <w:pPr>
              <w:pStyle w:val="TableContents"/>
              <w:bidi w:val="0"/>
              <w:spacing w:before="0" w:after="283"/>
              <w:jc w:val="left"/>
              <w:rPr/>
            </w:pPr>
            <w:r>
              <w:rPr/>
              <w:t>PICRUSt2</w:t>
            </w:r>
          </w:p>
        </w:tc>
        <w:tc>
          <w:tcPr>
            <w:tcW w:w="931" w:type="dxa"/>
            <w:tcBorders/>
            <w:vAlign w:val="center"/>
          </w:tcPr>
          <w:p>
            <w:pPr>
              <w:pStyle w:val="TableContents"/>
              <w:bidi w:val="0"/>
              <w:spacing w:before="0" w:after="283"/>
              <w:jc w:val="left"/>
              <w:rPr/>
            </w:pPr>
            <w:r>
              <w:rPr/>
              <w:t>2.4.1</w:t>
            </w:r>
          </w:p>
        </w:tc>
        <w:tc>
          <w:tcPr>
            <w:tcW w:w="3912" w:type="dxa"/>
            <w:tcBorders/>
            <w:vAlign w:val="center"/>
          </w:tcPr>
          <w:p>
            <w:pPr>
              <w:pStyle w:val="TableContents"/>
              <w:bidi w:val="0"/>
              <w:spacing w:before="0" w:after="283"/>
              <w:jc w:val="left"/>
              <w:rPr/>
            </w:pPr>
            <w:r>
              <w:rPr/>
              <w:t>—</w:t>
            </w:r>
          </w:p>
        </w:tc>
      </w:tr>
      <w:tr>
        <w:trPr/>
        <w:tc>
          <w:tcPr>
            <w:tcW w:w="3249" w:type="dxa"/>
            <w:tcBorders/>
            <w:vAlign w:val="center"/>
          </w:tcPr>
          <w:p>
            <w:pPr>
              <w:pStyle w:val="TableContents"/>
              <w:bidi w:val="0"/>
              <w:spacing w:before="0" w:after="283"/>
              <w:jc w:val="left"/>
              <w:rPr/>
            </w:pPr>
            <w:r>
              <w:rPr/>
              <w:t>Phenotypes and guilds</w:t>
            </w:r>
          </w:p>
        </w:tc>
        <w:tc>
          <w:tcPr>
            <w:tcW w:w="3247" w:type="dxa"/>
            <w:tcBorders/>
            <w:vAlign w:val="center"/>
          </w:tcPr>
          <w:p>
            <w:pPr>
              <w:pStyle w:val="TableContents"/>
              <w:bidi w:val="0"/>
              <w:spacing w:before="0" w:after="283"/>
              <w:jc w:val="left"/>
              <w:rPr/>
            </w:pPr>
            <w:r>
              <w:rPr/>
              <w:t>BugBase, FAPROTAX, FUNGuild</w:t>
            </w:r>
          </w:p>
        </w:tc>
        <w:tc>
          <w:tcPr>
            <w:tcW w:w="931" w:type="dxa"/>
            <w:tcBorders/>
            <w:vAlign w:val="center"/>
          </w:tcPr>
          <w:p>
            <w:pPr>
              <w:pStyle w:val="TableContents"/>
              <w:bidi w:val="0"/>
              <w:spacing w:before="0" w:after="283"/>
              <w:jc w:val="left"/>
              <w:rPr/>
            </w:pPr>
            <w:r>
              <w:rPr/>
              <w:t>—</w:t>
            </w:r>
          </w:p>
        </w:tc>
        <w:tc>
          <w:tcPr>
            <w:tcW w:w="3912" w:type="dxa"/>
            <w:tcBorders/>
            <w:vAlign w:val="center"/>
          </w:tcPr>
          <w:p>
            <w:pPr>
              <w:pStyle w:val="TableContents"/>
              <w:bidi w:val="0"/>
              <w:spacing w:before="0" w:after="283"/>
              <w:jc w:val="left"/>
              <w:rPr/>
            </w:pPr>
            <w:r>
              <w:rPr/>
              <w:t>—</w:t>
            </w:r>
          </w:p>
        </w:tc>
      </w:tr>
    </w:tbl>
    <w:p>
      <w:pPr>
        <w:pStyle w:val="Heading2"/>
        <w:bidi w:val="0"/>
        <w:jc w:val="left"/>
        <w:rPr/>
      </w:pPr>
      <w:r>
        <w:rPr/>
        <w:t>References</w:t>
      </w:r>
    </w:p>
    <w:p>
      <w:pPr>
        <w:pStyle w:val="BodyTextref"/>
        <w:bidi w:val="0"/>
        <w:jc w:val="left"/>
        <w:rPr/>
      </w:pPr>
      <w:r>
        <w:rPr/>
        <w:t>Anderson MJ (2001). A new method for non-parametric multivariate analysis of variance. Austral Ecology 26(1): 32–46. https://doi.org/10.1111/j.1442-9993.2001.01070.pp.x</w:t>
      </w:r>
    </w:p>
    <w:p>
      <w:pPr>
        <w:pStyle w:val="BodyTextref"/>
        <w:bidi w:val="0"/>
        <w:jc w:val="left"/>
        <w:rPr/>
      </w:pPr>
      <w:r>
        <w:rPr/>
        <w:t>Bolyen E, Rideout JR, Dillon MR, et al. (2019). Reproducible, interactive, scalable and extensible microbiome data science using QIIME 2. Nature Biotechnology 37: 852–857. https://doi.org/10.1038/s41587-019-0209-9</w:t>
      </w:r>
    </w:p>
    <w:p>
      <w:pPr>
        <w:pStyle w:val="BodyTextref"/>
        <w:bidi w:val="0"/>
        <w:jc w:val="left"/>
        <w:rPr/>
      </w:pPr>
      <w:r>
        <w:rPr/>
        <w:t>Douglas GM, Maffei VJ, Zaneveld JR, et al. (2020). PICRUSt2 for prediction of metagenome functions. Nature Biotechnology 38: 685–688. https://doi.org/10.1038/s41587-020-0548-6</w:t>
      </w:r>
    </w:p>
    <w:p>
      <w:pPr>
        <w:pStyle w:val="BodyTextref"/>
        <w:bidi w:val="0"/>
        <w:jc w:val="left"/>
        <w:rPr/>
      </w:pPr>
      <w:r>
        <w:rPr/>
        <w:t>Quast C, Pruesse E, Yilmaz P, et al. (2013). The SILVA ribosomal RNA gene database project: improved data processing and web-based tools. Nucleic Acids Research 41(D1): D590–D596. https://doi.org/10.1093/nar/gks1219</w:t>
      </w:r>
    </w:p>
    <w:p>
      <w:pPr>
        <w:pStyle w:val="BodyTextref"/>
        <w:bidi w:val="0"/>
        <w:jc w:val="left"/>
        <w:rPr/>
      </w:pPr>
      <w:r>
        <w:rPr/>
        <w:t>Rognes T, Flouri T, Nichols B, Quince C, Mahé F (2016). VSEARCH: a versatile open source tool for metagenomics. PeerJ 4: e2584. https://doi.org/10.7717/peerj.2584</w:t>
      </w:r>
    </w:p>
    <w:p>
      <w:pPr>
        <w:pStyle w:val="BodyTextref"/>
        <w:bidi w:val="0"/>
        <w:jc w:val="left"/>
        <w:rPr/>
      </w:pPr>
      <w:r>
        <w:rPr/>
        <w:t>Wang Q, Garrity GM, Tiedje JM, Cole JR (2007). Naïve Bayesian classifier for rapid assignment of rRNA sequences into the new bacterial taxonomy. Applied and Environmental Microbiology 73(16): 5261–5267. https://doi.org/10.1128/AEM.00062-07</w:t>
      </w:r>
    </w:p>
    <w:p>
      <w:pPr>
        <w:pStyle w:val="BodyTextnote"/>
        <w:bidi w:val="0"/>
        <w:spacing w:before="280" w:after="283"/>
        <w:jc w:val="left"/>
        <w:rPr/>
      </w:pPr>
      <w:r>
        <w:rPr/>
        <w:t>Sequencing was performed by Novogene (Beijing, China) through BD Genomes, Bangladesh. You may adapt this text for the methods section of your thesis or manuscript. Please check that it matches the analyses delivered for your project.</w:t>
      </w:r>
    </w:p>
    <w:sectPr>
      <w:type w:val="nextPage"/>
      <w:pgSz w:w="11906" w:h="16838"/>
      <w:pgMar w:left="1134" w:right="567" w:gutter="0" w:header="0" w:top="567" w:footer="0" w:bottom="567"/>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altName w:val="sans-serif"/>
    <w:charset w:val="01"/>
    <w:family w:val="auto"/>
    <w:pitch w:val="default"/>
  </w:font>
  <w:font w:name="Liberation Sans">
    <w:altName w:val="Arial"/>
    <w:charset w:val="01"/>
    <w:family w:val="swiss"/>
    <w:pitch w:val="variable"/>
  </w:font>
</w:fonts>
</file>

<file path=word/settings.xml><?xml version="1.0" encoding="utf-8"?>
<w:settings xmlns:w="http://schemas.openxmlformats.org/wordprocessingml/2006/main">
  <w:view w:val="web"/>
  <w:zoom w:percent="100"/>
  <w:defaultTabStop w:val="1134"/>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60"/>
    </w:pPr>
    <w:rPr>
      <w:rFonts w:ascii="Arial;sans-serif" w:hAnsi="Arial;sans-serif" w:eastAsia="Arial;sans-serif" w:cs="Arial;sans-serif"/>
      <w:color w:val="10262C"/>
      <w:sz w:val="22"/>
      <w:szCs w:val="22"/>
      <w:lang w:val="en-US" w:eastAsia="zh-CN" w:bidi="hi-IN"/>
    </w:rPr>
  </w:style>
  <w:style w:type="paragraph" w:styleId="Heading1">
    <w:name w:val="heading 1"/>
    <w:basedOn w:val="Heading"/>
    <w:next w:val="BodyText"/>
    <w:qFormat/>
    <w:pPr>
      <w:spacing w:before="240" w:after="80"/>
    </w:pPr>
    <w:rPr>
      <w:rFonts w:ascii="Arial;sans-serif" w:hAnsi="Arial;sans-serif" w:eastAsia="Arial;sans-serif" w:cs="Arial;sans-serif"/>
      <w:b/>
      <w:bCs/>
      <w:color w:val="0F4C5C"/>
      <w:sz w:val="36"/>
      <w:szCs w:val="36"/>
    </w:rPr>
  </w:style>
  <w:style w:type="paragraph" w:styleId="Heading2">
    <w:name w:val="heading 2"/>
    <w:basedOn w:val="Heading"/>
    <w:next w:val="BodyText"/>
    <w:qFormat/>
    <w:pPr>
      <w:spacing w:before="320" w:after="80"/>
      <w:ind w:left="320" w:right="320"/>
      <w:outlineLvl w:val="1"/>
    </w:pPr>
    <w:rPr>
      <w:rFonts w:ascii="Arial;sans-serif" w:hAnsi="Arial;sans-serif" w:eastAsia="Arial;sans-serif" w:cs="Arial;sans-serif"/>
      <w:b/>
      <w:bCs/>
      <w:color w:val="0F4C5C"/>
      <w:sz w:val="26"/>
      <w:szCs w:val="26"/>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rFonts w:ascii="Arial;sans-serif" w:hAnsi="Arial;sans-serif" w:eastAsia="Arial;sans-serif" w:cs="Arial;sans-serif"/>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rFonts w:ascii="Arial;sans-serif" w:hAnsi="Arial;sans-serif" w:eastAsia="Arial;sans-serif" w:cs="Arial;sans-serif"/>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BodyTextsub">
    <w:name w:val="Body Text.sub"/>
    <w:basedOn w:val="BodyText"/>
    <w:qFormat/>
    <w:pPr>
      <w:spacing w:before="0" w:after="40"/>
    </w:pPr>
    <w:rPr>
      <w:b/>
      <w:bCs/>
      <w:color w:val="B8620F"/>
    </w:rPr>
  </w:style>
  <w:style w:type="paragraph" w:styleId="BodyTextmeta">
    <w:name w:val="Body Text.meta"/>
    <w:basedOn w:val="BodyText"/>
    <w:qFormat/>
    <w:pPr>
      <w:spacing w:before="0" w:after="280"/>
    </w:pPr>
    <w:rPr>
      <w:color w:val="5F6F73"/>
      <w:sz w:val="19"/>
      <w:szCs w:val="19"/>
    </w:rPr>
  </w:style>
  <w:style w:type="paragraph" w:styleId="TableHeading">
    <w:name w:val="Table Heading"/>
    <w:basedOn w:val="TableContents"/>
    <w:qFormat/>
    <w:pPr>
      <w:suppressLineNumbers/>
      <w:shd w:fill="0F4C5C" w:val="clear"/>
      <w:jc w:val="left"/>
    </w:pPr>
    <w:rPr>
      <w:rFonts w:ascii="Arial;sans-serif" w:hAnsi="Arial;sans-serif" w:eastAsia="Arial;sans-serif" w:cs="Arial;sans-serif"/>
      <w:b/>
      <w:bCs/>
      <w:color w:val="FFFFFF"/>
    </w:rPr>
  </w:style>
  <w:style w:type="paragraph" w:styleId="BodyTextref">
    <w:name w:val="Body Text.ref"/>
    <w:basedOn w:val="BodyText"/>
    <w:qFormat/>
    <w:pPr>
      <w:spacing w:before="0" w:after="80"/>
    </w:pPr>
    <w:rPr>
      <w:sz w:val="19"/>
      <w:szCs w:val="19"/>
    </w:rPr>
  </w:style>
  <w:style w:type="paragraph" w:styleId="BodyTextnote">
    <w:name w:val="Body Text.note"/>
    <w:basedOn w:val="BodyText"/>
    <w:qFormat/>
    <w:pPr>
      <w:spacing w:before="280" w:after="283"/>
    </w:pPr>
    <w:rPr>
      <w:color w:val="5F6F73"/>
      <w:sz w:val="18"/>
      <w:szCs w:val="1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LibreOffice/26.2.6.3$Linux_X86_64 LibreOffice_project/620$Build-3</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16S rRNA amplicon sequencing (V3–V4) — Methods</dc:title>
</cp:coreProperties>
</file>

<file path=docProps/custom.xml><?xml version="1.0" encoding="utf-8"?>
<Properties xmlns="http://schemas.openxmlformats.org/officeDocument/2006/custom-properties" xmlns:vt="http://schemas.openxmlformats.org/officeDocument/2006/docPropsVTypes"/>
</file>